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2015/144 vom 9. Oktober 2017</w:t>
      </w:r>
    </w:p>
    <w:p>
      <w:r>
        <w:t>Sg Versicherungsgericht, 2017-10-09, DE</w:t>
      </w:r>
    </w:p>
    <w:p>
      <w:r>
        <w:rPr>
          <w:b/>
        </w:rPr>
        <w:t xml:space="preserve">Quelle: </w:t>
      </w:r>
      <w:r>
        <w:t>https://mcp.opencaselaw.ch/entscheid/sg_publikationen_IV 2015_144</w:t>
      </w:r>
    </w:p>
    <w:p>
      <w:r>
        <w:t>FR: SG_VERSICHERUNGSGERICHT IV 2015/144 du 9 octobre 2017</w:t>
      </w:r>
    </w:p>
    <w:p>
      <w:r>
        <w:t>IT: SG_VERSICHERUNGSGERICHT IV 2015/144 del 9 ottobre 2017</w:t>
      </w:r>
    </w:p>
    <w:p>
      <w:pPr>
        <w:pStyle w:val="Heading2"/>
      </w:pPr>
      <w:r>
        <w:t>Regeste</w:t>
      </w:r>
    </w:p>
    <w:p>
      <w:r>
        <w:t>Art. 28 IVG. Beweiswürdigung. Der Sachverhalt erweist sich aus medizinischer Sicht als genügend abgeklärt. 100%ige Arbeitsfähigkeit in einer adaptierten Tätigkeit. Kein rentenbegründender IV-Grad des Beschwerdeführers auch bei einem Tabellenlohnabzug von 25% (Entscheid des Versicherungsgerichts des Kantons St. Gallen vom 9. Oktober 2017, IV 2015/144).</w:t>
      </w:r>
    </w:p>
    <w:p>
      <w:pPr>
        <w:pStyle w:val="Heading2"/>
      </w:pPr>
      <w:r>
        <w:t>Erwägungen</w:t>
      </w:r>
    </w:p>
    <w:p>
      <w:r>
        <w:rPr>
          <w:b/>
        </w:rPr>
        <w:t>E. 1</w:t>
      </w:r>
    </w:p>
    <w:p>
      <w:r>
        <w:t>Zwischen den Parteien umstritten und nachfolgend zu prüfen ist der Rentenanspruch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ein Anspruch auf eine Viertelsrente. 1.2  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Der Sozialversicherungsprozess ist vom Untersuchungsgrundsatz beherrscht. Danach haben Gericht und Verwaltung von Amtes wegen für die richtige und vollständige Abklärung des rechtserheblichen Sachverhaltes zu sorgen (Urteil des Bundesgerichts vom 1. April 2011, 8C_73/2011, E. 4.1). Wenn der entscheidrelevante Sachverhalt ungenügend abgeklärt wurde, kann das Gericht die Angelegenheit zur ergänzenden Sachverhaltsermittlung und zu neuer Entscheidung an die Vorinstanz zurückweisen.</w:t>
      </w:r>
    </w:p>
    <w:p>
      <w:r>
        <w:rPr>
          <w:b/>
        </w:rPr>
        <w:t>E. 2</w:t>
      </w:r>
    </w:p>
    <w:p>
      <w:r>
        <w:t>Zunächst ist zu prüfen, ob die medizinische Aktenlage eine verlässliche Grundlage für die Beurteilung des umstrittenen Rentenanspruchs bildet. Die Beschwerdegegnerin stützt die Rentenabweisung in medizinischer Hinsicht auf die Abklärungen der Suva, insbesondere auf die kreisärztlichen Untersuchungen vom 29. März 2012 und vom 4. September 2013. Des Weiteren stützt sich die Beschwerdegegnerin auf den Arztbericht von Dr. F.___ vom 21. September 2012 und auf die Stellungnahme des RAD vom 29. August 2013. 2.1  Im kreisärztlichen Untersuchungsbericht vom 29. März 2012 wurde ausgeführt, die linke Hand sei als Zudienhand einsetzbar für sehr leichte bis leichte Tätigkeiten ohne repetitive Rotationsbewegungen des linken Unterarmes und ohne Vibrations- und Stossbelastungen. Tätigkeiten, welche repetitive Kontraktionsbelastungen des linken Armes erfordern, seien nicht zumutbar. Diese Beurteilung stützte der Kreisarzt auf diverse Arztberichte, einen eigenen Untersuch (Beweglichkeit Handgelenk, Sensibilität, Kraftmessung im Pinchgriff, Faustschlusskraft, Umfangmessungen) und Röntgenbilder vom 28. September 2011. Die kreisärztliche Abschlussuntersuchung vom 4. September 2013 stützte sich wiederum auf diverse Arztberichte und auf eigene Untersuchungen (Beweglichkeit Handgelenk, Kraftmessung im Pinchgriff, Faustschlusskraft, Umfangmasse). Objektiv bestünden Hypästhesien im Bereich des linken Unterarmes sowie auf Streck- und Beugeseite der linken Hand. Die Beweglichkeit der Langfinger sei weitgehend erhalten und die Oppositionsbewegungen des Daumens diskret eingeschränkt. Der Grobgriff sei kraftgemindert, jedoch uneingeschränkt durchführbar, der Spitz- und Schlüsselgriff deutlich kraftgemindert. Es bestehe eine sichtbare Atrophie der Intrinsikmuskulatur mit Kraftminderung bei An- und Abspreizung. Insgesamt sei keine wesentliche Veränderung zur kreisärztlichen Untersuchung vom 29. März 2012 feststellbar. Der Zustand nach Quetschtrauma des linken Unterarmes sei dauerhaft und erheblich (Fremdakten). 2.1.1  Im Arztbericht des KSSG, Klinik für Hand-, Plastische- und Wiederherstellungschirurgie, vom 9. April 2013 wurde von einer dauernden 100%igen Arbeitsunfähigkeit in der angestammten Tätigkeit ausgegangen. Aufgrund des starken Kraftverlustes, bei welchem keine signifikante Besserung über die weitere Zeit zu erwarten sei, könnten wegen der schweren Einschränkungen der Funktionen der linken Hand keine Berufe mit ausgesprochen manueller Ausprägung mehr durchgeführt werden. Daher bestehe eine abstrakte Arbeitsunfähigkeit von 40% im Sinne einer Minderung der Erwerbsfähigkeit (vgl. IV-act. 67). Während eine 100%ige Arbeitsunfähigkeit in der angestammten Tätigkeit als Dachdecker ohne weiteres plausibel erscheint, ist diese "abstrakte" Arbeitsunfähigkeit in jeglicher Tätigkeit weder begründet noch nachvollziehbar. Insbesondere ist beim Beschwerdeführer die dominante Hand weiterhin voll einsetzbar. Zudem konnte der Beschwerdeführer gemäss Schlussbericht des D.___ das zu Beginn der Massnahme definierte Tagessoll von 50% in der Schlussphase konstant auf 75% (sechs Stunden) halten (vgl. IV-act. 61; Abschlussbericht Suva vom 26. September 2012, Fremdakten). Deshalb kann auf diese Arbeitsfähigkeitsschätzung nicht abgestellt werden, umso mehr als die Frage der Erwerbsunfähigkeit keine medizinische, sondern eine rechtliche ist. 2.1.2  Der Kreisarzt stützte sich zudem auf den Austrittsbericht der Rehaklinik Bellikon vom 21. November 2011, welcher als arbeitsrelevantes Problem das Funktionsdefizit des linken Armes und der linken Hand bei Status nach komplexer Unterarmverletzung mit der deutlichen Kraftminderung und den neurologischen Ausfällen aufführte. Um die Belastbarkeit für eine berufliche Abklärung zu eruieren, sei die Einsatzfähigkeit langsam auf drei Stunden gesteigert worden, was jedoch noch nicht den Anforderungen an einen halbtägigen Einsatz in der beruflichen Abklärung entsprochen habe. Aufgrund eigener Untersuchungen hätten sich klinisch im Bereich des linken Unterarmes und der Hand ein erhebliches Kraftdefizit der vom Nervus medianus versorgten Muskulatur, ein Beweglichkeitsdefizit und eine Temperaturdifferenz im Vergleich zur Gegenseite sowie ein sensibles Defizit ab dem mittlerem Drittel des Unterarmes gezeigt (Fremdakten). Die beruflichen Standortbestimmungen durch die Rehaklinik Bellikon vom 1. Juli 2011 und 5. März 2012 verweisen darauf, dass der Beschwerdeführer als praktisch "Einhänder" wieder eingegliedert werden und die linke Hand als Hilfshand eingesetzt werden könne (vgl. Fremdakten). 2.1.3  Weiter enthält der Arztbericht vom 9. Mai 2011 des KSSG, Klinik für Neurologie, Angaben betreffend die Arbeitsfähigkeit in einer adaptierten Tätigkeit. Auch in diesem wurde bei gleichzeitiger Empfehlung einer Umschulung eine 100%ige Arbeitsfähigkeit attestiert (vgl. IV-act 19). 2.1.4  Der Kreisarzt machte zwar keine expliziten Ausführungen betreffend die quantitative Arbeitsfähigkeit des Beschwerdeführers, sondern hielt im Zumutbarkeitsprofil lediglich die Kriterien für eine adaptierte Tätigkeit fest. Damit ist er - wie sich aus den Verfügungen der Suva ergibt - von einer 100%igen Arbeitsfähigkeit in einer adaptierten Tätigkeit ausgegangen. 2.1.5  Insgesamt ist ersichtlich, dass sich der Kreisarzt ausführlich mit dem Gesundheitszustand des Beschwerdeführers auseinandergesetzt hatte. Die Vorakten und die Anamnese sowie die subjektiven Angaben des Beschwerdeführers wurden vom Kreisarzt berücksichtigt und im Zumutbarkeitsprofil beachtet. 2.2  Die Beschwerdegegnerin stützt sich in ihrer Rentenabweisung zudem auf die Stellungnahme des RAD vom 29. August 2013. Der RAD führte darin aus, aus versicherungsmedizinischer Sicht sei der Gesundheitszustand des Beschwerdeführers stabil. Die diagnostizierte Anpassungsstörung begründe keine anhaltende Arbeitsunfähigkeit, weshalb aus psychiatrischer Sicht in einer adaptierten Tätigkeit keine Einschränkungen berücksichtigt werden müssten (IV-act. 79). Dies erscheint plausibel, denn eine psychiatrische Behandlung fand nur kurze Zeit vom 7. Mai bis 18. Juni 2012 statt, wobei Dr. F.___ als psychisch einschränkend die vom Beschwerdeführer genannten Konzentrationsstörungen erachtete, selbst solche jedoch nicht feststellte (vgl. IV-act. 52-3). 2.3  Betreffend den Tinnitus ist festzuhalten, dass dieser keinen Einfluss auf die quantitative Arbeitsfähigkeit des Beschwerdeführers hat. In den Arztberichten von Dr. B.___ sind dazu auch keine gegenteiligen Ausführungen vorhanden (vgl. Fremdakten). Lediglich in qualitativer Hinsicht ist auf den Tinnitus in einer adaptierten Tätigkeit Rücksicht zu nehmen, indem lärmbelastete Tätigkeiten wohl auszuschliessen sind. 2.4  Zusammenfassend ist festzuhalten, dass der Sachverhalt aus medizinischer Sicht genügend abgeklärt ist. In der angestammten Tätigkeit des Beschwerdeführers besteht unbestrittenermassen eine 100%ige Arbeitsunfähigkeit und in einer adaptierten Tätigkeit aufgrund der vorab getätigten Ausführungen eine auch durch mehrere Ärzte bestätigte 100%ige Arbeitsfähigkeit, wobei oben genannte Kriterien (vgl. Ziff. 2.1) zu beachten sind. Weitere medizinische Abklärungen drängen sich nicht auf.</w:t>
      </w:r>
    </w:p>
    <w:p>
      <w:r>
        <w:rPr>
          <w:b/>
        </w:rPr>
        <w:t>E. 3</w:t>
      </w:r>
    </w:p>
    <w:p>
      <w:r>
        <w:t>3.1  Für den Einkommensvergleich sind die Verhältnisse im Zeitpunkt des frühestmöglichen Beginns des Rentenanspruchs massgebend, wobei Validen- und Invalideneinkommen auf zeitidentischer Grundlage zu erheben und allfällige rentenwirksame Änderungen der Vergleichseinkommen bis zum Verfügungserlass zu berücksichtigen sind (BGE 129 V 222). Gemäss Art. 29 Abs. 1 IVG entsteht der Rentenanspruch frühestens nach Ablauf von sechs Monaten nach Geltendmachung des Leistungsanspruchs (Art. 29 Abs. 1 IVG). Die Rente wird vom Beginn des Monats an ausbezahlt, in dem der Rentenanspruch entsteht (Art. 29 Abs. 3 IVG). Vorausgesetzt ist zudem die Erfüllung des Wartejahres (Art. 28 Abs. 1 lit. b IVG). Der Beschwerdeführer ist seit dem 14. Januar 2011 arbeitsunfähig und meldete sich am 18. März 2011 bei der IV an. Ein Rentenanspruch bestünde damit frühestens ab dem 1. Januar 2012. 3.2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(BGE 135 V 59 E. 3.1). Gemäss Arbeitgeberfragebogen hätte der Beschwerdeführer im Jahr 2011 Fr. 68'900.-- verdient (IV-act. 8-2). Unter Berücksichtigung der Nominallohnentwicklung bis 2012 resultiert somit ein Valideneinkommen von gerundet Fr. 69'440.-- (Fr. 68'900.-- / 2171 x 2188). 3.3  Für die Bestimmung des Invalideneinkommens ist primär von der beruflich-erwerblichen Situation auszugehen, in der die versicherte Person konkret steht. Ist kein solches Erwerbseinkommen gegeben, namentlich weil die versicherte Person nach Eintritt des Gesundheitsschadens keine oder jedenfalls keine ihr an sich zumutbare neue Erwerbstätigkeit aufgenommen hat, können die LSE-Tabellenlöhne herangezogen werden (Urteil des Bundesgerichts vom 10. Juli 2014, 8C_7/2014, E. 7.1). Dem Beschwerdeführer verbleiben gemäss Rechtsprechung auf dem massgebenden ausgeglichenen Arbeitsmarkt trotz seiner funktionellen Einschränkung noch zumutbare Einsatzmöglichkeiten. Die faktische Einhändigkeit oder die Beschränkung der dominanten Hand als Zudienhand stellen zwar praxisgemäss Tatbestände einer erheblich erschwerten Verwertbarkeit der Arbeitsfähigkeit dar. Doch hat die Rechtsprechung wiederholt bestätigt, dass auf dem ausgeglichenen Arbeitsmarkt genügend realistische Betätigungsmöglichkeiten für Personen bestehen, die funktionell als Einarmige zu betrachten sind und überdies nur noch leichte Arbeit verrichten können. Zu denken ist etwa an einfache Überwachungs-, Prüf- und Kontrolltätigkeiten sowie an die Bedienung und Überwachung von (halb-) automatischen Maschinen oder Produktionseinheiten, die keinen Einsatz der dominanten Hand voraussetzen (Urteil des Bundesgerichts vom 8. Juli 2016, 8C_37/2016, E. 5.1.2, mit Hinweisen). Dies hat vorliegend umso mehr zu gelten, als es sich bei der beeinträchtigten Hand des Beschwerdeführers gerade nicht um seine dominante Hand handelt. Da der Beschwerdeführer keiner Arbeit nachgeht, ist das Invalideneinkommen vorliegend anhand der Tabellenlöhne zu ermitteln. Der Beschwerdeführer ist in einer adaptierten Tätigkeit zu 100% arbeitsfähig. Auszugehen ist vom Totalwert für den gesamten privaten Sektor gemäss der Lohnstrukturerhebung (LSE) 2012 TA1, Kompetenzniveau 1 für Männer, von monatlich Fr. 5'210.--. Unter Berücksichtigung der betriebsüblichen Arbeitszeit für das Jahr 2012 ergibt das ein jährliches Invalideneinkommen von gerundet Fr. 65'177.-- (12 x Fr. 5'210.-- / 40 x 41.7). 3.4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Der Abzug soll aber nicht automatisch erfolgen. Er ist unter Würdigung der Umstände im Einzelfall nach pflichtgemässem Ermessen gesamthaft zu schätzen und darf 25% nicht übersteigen. Die Rechtsprechung gewährt insbesondere dann einen Abzug auf dem Invalideneinkommen, wenn eine versicherte Person selbst im Rahmen körperlich leichter Hilfsarbeitertätigkeit in ihrer Leistungsfähigkeit eingeschränkt ist (BGE 126 V 78 E. 5a/bb). Selbst mit einem maximalen Tabellenlohnabzug von 25% resultiert bei vorliegenden Validen- und Invalideneinkommen kein rentenbegründender IV-Grad ([Fr. 69'440.-- ./. 48'883.--] x 100 / 69'440.-- = 30%).</w:t>
      </w:r>
    </w:p>
    <w:p>
      <w:r>
        <w:rPr>
          <w:b/>
        </w:rPr>
        <w:t>E. 4</w:t>
      </w:r>
    </w:p>
    <w:p>
      <w:r>
        <w:t>Nach dem Gesagten ist die Beschwerde abzuweisen. Das Beschwerdeverfahren ist kostenpflichtig. Die Kosten werden nach dem Verfahrensaufwand und unabhängig vom Streitwert im Rahmen von Fr. 200.-- bis Fr. 1'000.-- festgelegt (act. 69 Abs. 1bis IVG). Eine Gerichtsgebühr von Fr. 600.-- erscheint in der vorliegend zu beurteilenden Angelegenheit als angemessen. Dem Ausgang des Verfahrens entsprechend ist sie vollumfänglich dem Beschwerdeführer aufzuerlegen. Ausgangsgemäss hat der Beschwerdeführer keinen Anspruch auf eine Parteientschädigung. Entscheid im Zirkulationsverfahren gemäss Art. 39 VRP 1. Die Beschwerde wird abgewiesen. 2.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